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39949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Universitatea Politehnica Timisoara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399497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52722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527227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19109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191096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1687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Licenta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168729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16942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/50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/Inginer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169421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95619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Toleran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702804"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 control</w:t>
            </w:r>
            <w:r w:rsidR="00702804">
              <w:rPr>
                <w:rFonts w:cs="Gautami"/>
                <w:bCs/>
                <w:sz w:val="18"/>
                <w:szCs w:val="18"/>
                <w:lang w:val="ro-RO"/>
              </w:rPr>
              <w:t xml:space="preserve"> </w:t>
            </w:r>
            <w:r w:rsidR="00702804"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dimensional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/DD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9561931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AC00C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3891907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.l</w:t>
            </w:r>
            <w:proofErr w:type="spellEnd"/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Dr. Ing. Ioan GROZA</w:t>
            </w:r>
            <w:permEnd w:id="47389190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31168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C00C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</w:t>
            </w:r>
            <w:bookmarkStart w:id="0" w:name="_GoBack"/>
            <w:bookmarkEnd w:id="0"/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.l. Dr. Ing. Ioan GROZA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83116806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118929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892926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80072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800729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50808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5080883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31791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317915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10230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102300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849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849890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09401075" w:edGrp="everyone"/>
            <w:permEnd w:id="180940107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8459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8459539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95361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953614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440465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4404656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4387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43870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53126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531260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274431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274431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56993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569934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14497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144978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11264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11264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93139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9313906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5310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531096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67886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67886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88152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881526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94253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0,5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69425361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40684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406847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88074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880747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17965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179650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509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5092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11408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5,5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114088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78632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320C2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786322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84078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840780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702804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8334179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E774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Pr="004E7744">
              <w:rPr>
                <w:rFonts w:ascii="Verdana" w:hAnsi="Verdana"/>
                <w:sz w:val="18"/>
                <w:szCs w:val="18"/>
                <w:lang w:val="ro-RO"/>
              </w:rPr>
              <w:t>ţiuni despre tehnologii de prelucrare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, </w:t>
            </w:r>
            <w:r w:rsidRPr="004E7744">
              <w:rPr>
                <w:rFonts w:ascii="Verdana" w:hAnsi="Verdana"/>
                <w:sz w:val="18"/>
                <w:szCs w:val="18"/>
                <w:lang w:val="ro-RO"/>
              </w:rPr>
              <w:t>desen tehnic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8334179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28097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2809739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6852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Amfiteatru de curs cu </w:t>
            </w:r>
            <w:r w:rsidR="00702804" w:rsidRPr="004604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facilit</w:t>
            </w:r>
            <w:r w:rsidR="00702804"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="00702804" w:rsidRPr="00460465">
              <w:rPr>
                <w:rFonts w:ascii="Gautami" w:hAnsi="Gautami" w:cs="Gautami"/>
                <w:sz w:val="18"/>
                <w:szCs w:val="18"/>
                <w:lang w:val="ro-RO"/>
              </w:rPr>
              <w:t>i media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6852128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03376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0337607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60636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02804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Definirea criteriilor de selectare a solutiilor de proiectare pentru elemente si sisteme mecanice pe baza conceptelor si teoriilor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6063675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98168D" w:rsidP="000320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29511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C2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Utilizarea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principiilor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cs="Calibri"/>
                <w:sz w:val="18"/>
                <w:szCs w:val="18"/>
              </w:rPr>
              <w:t>ş</w:t>
            </w:r>
            <w:r w:rsidR="000320C2" w:rsidRPr="000320C2">
              <w:rPr>
                <w:rFonts w:ascii="Gautami" w:hAnsi="Gautami" w:cs="Gautami"/>
                <w:sz w:val="18"/>
                <w:szCs w:val="18"/>
              </w:rPr>
              <w:t>i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instrumentelor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grafice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pentru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descrierea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cs="Calibri"/>
                <w:sz w:val="18"/>
                <w:szCs w:val="18"/>
              </w:rPr>
              <w:t>ş</w:t>
            </w:r>
            <w:r w:rsidR="000320C2" w:rsidRPr="000320C2">
              <w:rPr>
                <w:rFonts w:ascii="Gautami" w:hAnsi="Gautami" w:cs="Gautami"/>
                <w:sz w:val="18"/>
                <w:szCs w:val="18"/>
              </w:rPr>
              <w:t>i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proiectarea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sistemelor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cs="Calibri"/>
                <w:sz w:val="18"/>
                <w:szCs w:val="18"/>
              </w:rPr>
              <w:t>ş</w:t>
            </w:r>
            <w:r w:rsidR="000320C2" w:rsidRPr="000320C2">
              <w:rPr>
                <w:rFonts w:ascii="Gautami" w:hAnsi="Gautami" w:cs="Gautami"/>
                <w:sz w:val="18"/>
                <w:szCs w:val="18"/>
              </w:rPr>
              <w:t>i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proceselor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 w:rsidR="000320C2" w:rsidRPr="000320C2">
              <w:rPr>
                <w:rFonts w:ascii="Gautami" w:hAnsi="Gautami" w:cs="Gautami"/>
                <w:sz w:val="18"/>
                <w:szCs w:val="18"/>
              </w:rPr>
              <w:t>mecanice</w:t>
            </w:r>
            <w:proofErr w:type="spellEnd"/>
            <w:r w:rsidR="000320C2" w:rsidRPr="000320C2">
              <w:rPr>
                <w:rFonts w:ascii="Gautami" w:hAnsi="Gautami" w:cs="Gautami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2951129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0320C2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38283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CT1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Resp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ectarea principiilor, normelor 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>i valorilor codului de etic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profesional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prin abordarea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unei strategii de munc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riguroas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, eficient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responsabil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în rezolvarea problemelor 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i luarea deciziilor </w:t>
            </w:r>
            <w:permEnd w:id="1323828372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58385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>Cunoa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ș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terea elementelor</w:t>
            </w:r>
            <w:r w:rsidR="007608EC" w:rsidRPr="00EA5FE0">
              <w:rPr>
                <w:rFonts w:ascii="Gautami" w:hAnsi="Gautami" w:cs="Gautami"/>
                <w:sz w:val="16"/>
                <w:szCs w:val="16"/>
                <w:lang w:val="ro-RO"/>
              </w:rPr>
              <w:t xml:space="preserve"> 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ce definesc p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recizia de prelucrare 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>i activit</w:t>
            </w:r>
            <w:r w:rsidR="007608EC"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>ile metrologice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5838531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7608EC" w:rsidRPr="00EA5FE0" w:rsidRDefault="00FD5BE8" w:rsidP="00C95D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112770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08EC">
              <w:rPr>
                <w:rFonts w:ascii="Gautami" w:hAnsi="Gautami" w:cs="Gautami"/>
                <w:sz w:val="18"/>
                <w:szCs w:val="18"/>
                <w:lang w:val="ro-RO"/>
              </w:rPr>
              <w:t>D</w:t>
            </w:r>
            <w:r w:rsidR="007608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efinirea preciziei de prelucrare</w:t>
            </w:r>
          </w:p>
          <w:p w:rsidR="007608EC" w:rsidRPr="00EA5FE0" w:rsidRDefault="007608EC" w:rsidP="00C95DE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sz w:val="18"/>
                <w:szCs w:val="18"/>
                <w:lang w:val="ro-RO"/>
              </w:rPr>
              <w:t>U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tilizar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ea limbajului tehnic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de specialitate în activit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i de metrologie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de proiectare a preciziei de prelucrare</w:t>
            </w:r>
          </w:p>
          <w:p w:rsidR="00EC6A2C" w:rsidRPr="0040372D" w:rsidRDefault="007608E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sz w:val="18"/>
                <w:szCs w:val="18"/>
                <w:lang w:val="ro-RO"/>
              </w:rPr>
              <w:t>Cunoa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terea elementelor ce d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efinesc precizia de fabricaţie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montaj a asambl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rilor cilindrice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a organelor de ma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ini de construc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ie specific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277089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50B66" w:rsidRPr="00EA5FE0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sz w:val="18"/>
                <w:szCs w:val="18"/>
                <w:lang w:val="ro-RO"/>
              </w:rPr>
            </w:pPr>
            <w:permStart w:id="13180912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Precizia prelucarii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 mecanice</w:t>
            </w:r>
          </w:p>
          <w:p w:rsidR="00875BC6" w:rsidRPr="0040372D" w:rsidRDefault="00C50B6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lastRenderedPageBreak/>
              <w:t xml:space="preserve">       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Precizia dimensiunilor liniare. Precizia de form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geometric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de pozi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ie reciproc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. Precizia netezimii suprafe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elor. No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iuni despre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ajustaje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80912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42663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BB7803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4266307"/>
          </w:p>
        </w:tc>
        <w:tc>
          <w:tcPr>
            <w:tcW w:w="2091" w:type="dxa"/>
            <w:vMerge w:val="restart"/>
          </w:tcPr>
          <w:p w:rsidR="00BB7803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7256186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B780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Metode frontale: expunerea, prelegerea, conversa</w:t>
            </w:r>
            <w:r w:rsidR="00BB7803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BB780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ía,  explica</w:t>
            </w:r>
            <w:r w:rsidR="00BB7803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BB780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ía, demonstra</w:t>
            </w:r>
            <w:r w:rsidR="00BB7803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BB7803">
              <w:rPr>
                <w:rFonts w:ascii="Verdana" w:hAnsi="Verdana"/>
                <w:sz w:val="16"/>
                <w:szCs w:val="16"/>
                <w:lang w:val="ro-RO"/>
              </w:rPr>
              <w:t>ia, deduc</w:t>
            </w:r>
            <w:r w:rsidR="00BB7803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BB7803">
              <w:rPr>
                <w:rFonts w:ascii="Verdana" w:hAnsi="Verdana"/>
                <w:sz w:val="16"/>
                <w:szCs w:val="16"/>
                <w:lang w:val="ro-RO"/>
              </w:rPr>
              <w:t>ia</w:t>
            </w:r>
            <w:r w:rsidR="00BB780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BB7803" w:rsidRDefault="00BB7803" w:rsidP="00C95D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</w:p>
          <w:p w:rsidR="00875BC6" w:rsidRPr="0040372D" w:rsidRDefault="00BB780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Metode de grup: studiu de caz, experimente, exerci</w:t>
            </w:r>
            <w:r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>ii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5618606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50B66" w:rsidRPr="00EA5FE0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270049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 w:rsidRPr="00EA5FE0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Sistemul de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toleranţe 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ş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 ajustaje STAS-ISO</w:t>
            </w:r>
            <w:r w:rsidR="00C50B66"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</w:p>
          <w:p w:rsidR="00875BC6" w:rsidRPr="0040372D" w:rsidRDefault="00C50B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    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Caracteristicile sistemului ISO. Alegerea sistemului de ajustaj.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Proiectarea clasei de toleran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. Alegerea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verificarea toleran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elor la distan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ele între axe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suprafe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004968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91643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916433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50B66" w:rsidRPr="007E0612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permStart w:id="14094924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Precizia de fabrica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ţ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ie 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ş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 montaj a organelor de ma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ş</w:t>
            </w:r>
            <w:r w:rsidR="00C50B66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ini de construc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ţ</w:t>
            </w:r>
            <w:r w:rsidR="00C50B66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ie specific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ă</w:t>
            </w:r>
          </w:p>
          <w:p w:rsidR="00875BC6" w:rsidRPr="0040372D" w:rsidRDefault="00C50B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       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Asambl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ri cu pan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caneluri. Asambl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ri filetate. Ru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lmen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i. Ro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din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ate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angrenaje. Asambl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ri conice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94924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86013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86013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C50B66" w:rsidRPr="00EA5FE0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sz w:val="18"/>
                <w:szCs w:val="18"/>
                <w:lang w:val="ro-RO"/>
              </w:rPr>
            </w:pPr>
            <w:permStart w:id="1177253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No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ţ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iuni privind opera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ţ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iile de m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ă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surare 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ş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 control dimensional pentru m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ă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rimi geometrice liniare </w:t>
            </w:r>
            <w:r w:rsidR="00C50B66">
              <w:rPr>
                <w:rFonts w:ascii="Arial" w:hAnsi="Arial" w:cs="Arial"/>
                <w:b/>
                <w:sz w:val="18"/>
                <w:szCs w:val="18"/>
                <w:lang w:val="ro-RO"/>
              </w:rPr>
              <w:t>ş</w:t>
            </w:r>
            <w:r w:rsidR="00C50B66"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>i unghiulare</w:t>
            </w:r>
          </w:p>
          <w:p w:rsidR="00875BC6" w:rsidRPr="0040372D" w:rsidRDefault="00C50B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b/>
                <w:sz w:val="18"/>
                <w:szCs w:val="18"/>
                <w:lang w:val="ro-RO"/>
              </w:rPr>
              <w:t xml:space="preserve">       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Metode de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 a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rimilor mecanice. Caracteristicile metrologice ale mijlo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acelor de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surare. Aparate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instrumente de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surat lungimi. Metode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i mijloace de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surare a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rimilor unghiulare. Traductoare utilizate 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în construcţia mijloacelor de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7253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28658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286583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87028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870289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45689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456896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6045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604545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4176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041765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49541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495418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82126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882126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95112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95112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84999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2849999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17061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17061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54427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544278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1454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1454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4143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4143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11409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114095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91600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91600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9693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969335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71918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719185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03132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031320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35210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352106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09352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093521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55070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55070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A4B9A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731548775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654959" w:rsidRPr="00EA5FE0" w:rsidRDefault="00654959" w:rsidP="006549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sz w:val="18"/>
                <w:szCs w:val="18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        </w:t>
            </w:r>
            <w:r w:rsidRPr="00EA5FE0">
              <w:rPr>
                <w:rFonts w:ascii="Gautami" w:hAnsi="Gautami" w:cs="Gautami"/>
                <w:sz w:val="18"/>
                <w:szCs w:val="18"/>
              </w:rPr>
              <w:t xml:space="preserve">1. 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David I., </w:t>
            </w:r>
            <w:r>
              <w:rPr>
                <w:rFonts w:ascii="Gautami" w:hAnsi="Gautami" w:cs="Gautam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Precizia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fabrica</w:t>
            </w:r>
            <w:r>
              <w:rPr>
                <w:rFonts w:ascii="Arial" w:hAnsi="Arial" w:cs="Arial"/>
                <w:sz w:val="18"/>
                <w:szCs w:val="18"/>
              </w:rPr>
              <w:t>ţ</w:t>
            </w:r>
            <w:r>
              <w:rPr>
                <w:rFonts w:ascii="Gautami" w:hAnsi="Gautami" w:cs="Gautami"/>
                <w:sz w:val="18"/>
                <w:szCs w:val="18"/>
              </w:rPr>
              <w:t>ie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ş</w:t>
            </w:r>
            <w:r>
              <w:rPr>
                <w:rFonts w:ascii="Gautami" w:hAnsi="Gautami" w:cs="Gautami"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montaj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în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construc</w:t>
            </w:r>
            <w:r>
              <w:rPr>
                <w:rFonts w:ascii="Arial" w:hAnsi="Arial" w:cs="Arial"/>
                <w:sz w:val="18"/>
                <w:szCs w:val="18"/>
              </w:rPr>
              <w:t>ţ</w:t>
            </w:r>
            <w:r>
              <w:rPr>
                <w:rFonts w:ascii="Gautami" w:hAnsi="Gautami" w:cs="Gautami"/>
                <w:sz w:val="18"/>
                <w:szCs w:val="18"/>
              </w:rPr>
              <w:t>ia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</w:rPr>
              <w:t>i</w:t>
            </w:r>
            <w:r>
              <w:rPr>
                <w:rFonts w:ascii="Gautami" w:hAnsi="Gautami" w:cs="Gautami"/>
                <w:sz w:val="18"/>
                <w:szCs w:val="18"/>
              </w:rPr>
              <w:t>ni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Editura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Politehnica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Timi</w:t>
            </w:r>
            <w:r>
              <w:rPr>
                <w:rFonts w:ascii="Arial" w:hAnsi="Arial" w:cs="Arial"/>
                <w:sz w:val="18"/>
                <w:szCs w:val="18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</w:rPr>
              <w:t>oara</w:t>
            </w:r>
            <w:proofErr w:type="spellEnd"/>
            <w:r w:rsidRPr="00EA5FE0">
              <w:rPr>
                <w:rFonts w:ascii="Gautami" w:hAnsi="Gautami" w:cs="Gautami"/>
                <w:sz w:val="18"/>
                <w:szCs w:val="18"/>
              </w:rPr>
              <w:t>, 2008.</w:t>
            </w:r>
          </w:p>
          <w:p w:rsidR="00654959" w:rsidRPr="00EA5FE0" w:rsidRDefault="00654959" w:rsidP="006549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sz w:val="18"/>
                <w:szCs w:val="18"/>
              </w:rPr>
            </w:pPr>
          </w:p>
          <w:p w:rsidR="00654959" w:rsidRPr="00EA5FE0" w:rsidRDefault="00654959" w:rsidP="00654959">
            <w:pPr>
              <w:rPr>
                <w:rFonts w:ascii="Gautami" w:hAnsi="Gautami" w:cs="Gautami"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       2. David I., Bagiu L. –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sur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ri, Editura „Printech”, Bucure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ti, 2000.                                                         </w:t>
            </w:r>
          </w:p>
          <w:p w:rsidR="00824523" w:rsidRDefault="00654959" w:rsidP="006549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       3. Perju D., Matea</w:t>
            </w:r>
            <w:r>
              <w:rPr>
                <w:rFonts w:ascii="Verdana" w:hAnsi="Verdana" w:cs="Gautami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M., – Aparate </w:t>
            </w:r>
            <w:r>
              <w:rPr>
                <w:rFonts w:ascii="Verdana" w:hAnsi="Verdana" w:cs="Gautami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sisteme de măsurare, Editura „Politehnica”, Timi</w:t>
            </w:r>
            <w:r>
              <w:rPr>
                <w:rFonts w:ascii="Verdana" w:hAnsi="Verdana" w:cs="Gautami"/>
                <w:sz w:val="18"/>
                <w:szCs w:val="18"/>
                <w:lang w:val="ro-RO"/>
              </w:rPr>
              <w:t>ş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oara, 2005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824523" w:rsidRDefault="00824523" w:rsidP="006549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824523" w:rsidRPr="00824523" w:rsidRDefault="00824523" w:rsidP="0082452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4.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Groza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I., s.a.- Achiziţia datelor transmise de instrumente de măsurare digitale, Editura Fundației Ioan Slavici, </w:t>
            </w:r>
          </w:p>
          <w:p w:rsidR="00654959" w:rsidRPr="00824523" w:rsidRDefault="00824523" w:rsidP="0082452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Timișoara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, 2012 </w:t>
            </w:r>
          </w:p>
          <w:permEnd w:id="1731548775"/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36473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>Studiul erorilor de prelucrare cu ajutorul calculului statistic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364739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29195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2919568"/>
          </w:p>
        </w:tc>
        <w:tc>
          <w:tcPr>
            <w:tcW w:w="2091" w:type="dxa"/>
            <w:vMerge w:val="restart"/>
          </w:tcPr>
          <w:p w:rsidR="003C69EC" w:rsidRDefault="00875BC6" w:rsidP="00C95D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2648766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69E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Metode frontale: expunerea, prelegerea, </w:t>
            </w:r>
            <w:r w:rsidR="003C69E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>conversa</w:t>
            </w:r>
            <w:r w:rsidR="003C69EC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3C69E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ía,  explica</w:t>
            </w:r>
            <w:r w:rsidR="003C69EC" w:rsidRPr="00070724">
              <w:rPr>
                <w:rFonts w:ascii="Verdana" w:hAnsi="Verdana"/>
                <w:sz w:val="16"/>
                <w:szCs w:val="16"/>
                <w:lang w:val="ro-RO"/>
              </w:rPr>
              <w:t>ţ</w:t>
            </w:r>
            <w:r w:rsidR="003C69E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ía, </w:t>
            </w:r>
            <w:r w:rsidR="003C69EC"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demonstra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ţia, deducţia</w:t>
            </w:r>
            <w:r w:rsidR="003C69EC">
              <w:rPr>
                <w:rFonts w:ascii="Verdana" w:hAnsi="Verdana"/>
                <w:sz w:val="16"/>
                <w:szCs w:val="16"/>
                <w:lang w:val="ro-RO"/>
              </w:rPr>
              <w:t>.</w:t>
            </w:r>
            <w:r w:rsidR="003C69E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3C69EC" w:rsidRDefault="003C69EC" w:rsidP="00C95D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</w:p>
          <w:p w:rsidR="00875BC6" w:rsidRPr="0040372D" w:rsidRDefault="003C69E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Metode de grup: studiu de caz, experimente, </w:t>
            </w:r>
            <w:r w:rsidRPr="00EA5F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exerci</w:t>
            </w:r>
            <w:r w:rsidRPr="00EA5FE0">
              <w:rPr>
                <w:rFonts w:ascii="Gautami" w:hAnsi="Gautami" w:cs="Gautami"/>
                <w:sz w:val="18"/>
                <w:szCs w:val="18"/>
                <w:lang w:val="ro-RO"/>
              </w:rPr>
              <w:t>ţii, algoritmizarea, problematizarea,</w:t>
            </w:r>
            <w:r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487665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63839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>Determinarea practic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a toleran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>ei caracteristicii de asamblare (ajustaje probabile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>)</w:t>
            </w:r>
            <w:r w:rsidR="00C50B66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63839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87002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4870027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68135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>Proiectarea clasei de toleran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ţă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la a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 xml:space="preserve">justajele cu joc, intermediare 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cu strângere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681357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6967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69677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5386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>M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surarea dimensi</w:t>
            </w:r>
            <w:r w:rsidR="00C50B66">
              <w:rPr>
                <w:rFonts w:ascii="Gautami" w:hAnsi="Gautami" w:cs="Gautami"/>
                <w:sz w:val="18"/>
                <w:szCs w:val="18"/>
                <w:lang w:val="ro-RO"/>
              </w:rPr>
              <w:t>unilor liniare cu mijloace de m</w:t>
            </w:r>
            <w:r w:rsidR="00C50B66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C50B66"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 universale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538674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29393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29393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85907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76F04">
              <w:rPr>
                <w:rFonts w:ascii="Gautami" w:hAnsi="Gautami" w:cs="Gautami"/>
                <w:sz w:val="18"/>
                <w:szCs w:val="18"/>
                <w:lang w:val="ro-RO"/>
              </w:rPr>
              <w:t>M</w:t>
            </w:r>
            <w:r w:rsidR="00B76F04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B76F04">
              <w:rPr>
                <w:rFonts w:ascii="Gautami" w:hAnsi="Gautami" w:cs="Gautami"/>
                <w:sz w:val="18"/>
                <w:szCs w:val="18"/>
                <w:lang w:val="ro-RO"/>
              </w:rPr>
              <w:t>surarea m</w:t>
            </w:r>
            <w:r w:rsidR="00B76F04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B76F04" w:rsidRPr="00EA5FE0">
              <w:rPr>
                <w:rFonts w:ascii="Gautami" w:hAnsi="Gautami" w:cs="Gautami"/>
                <w:sz w:val="18"/>
                <w:szCs w:val="18"/>
                <w:lang w:val="ro-RO"/>
              </w:rPr>
              <w:t xml:space="preserve">rimilor </w:t>
            </w:r>
            <w:r w:rsidR="00B76F04">
              <w:rPr>
                <w:rFonts w:ascii="Gautami" w:hAnsi="Gautami" w:cs="Gautami"/>
                <w:sz w:val="18"/>
                <w:szCs w:val="18"/>
                <w:lang w:val="ro-RO"/>
              </w:rPr>
              <w:t xml:space="preserve">unghiulare prin metode directe </w:t>
            </w:r>
            <w:r w:rsidR="00B76F04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B76F04" w:rsidRPr="00EA5FE0">
              <w:rPr>
                <w:rFonts w:ascii="Gautami" w:hAnsi="Gautami" w:cs="Gautami"/>
                <w:sz w:val="18"/>
                <w:szCs w:val="18"/>
                <w:lang w:val="ro-RO"/>
              </w:rPr>
              <w:t>i indirecte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859077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76430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50B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0764303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66160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0661603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11670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>M</w:t>
            </w:r>
            <w:r w:rsidR="003C69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surarea unor parametrii de rugozitate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116705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3092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6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30927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7231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723186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6640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>Achizi</w:t>
            </w:r>
            <w:r w:rsidR="003C69EC"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i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a </w:t>
            </w:r>
            <w:r w:rsidR="003C69EC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>i prelucra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r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 xml:space="preserve">ea 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date</w:t>
            </w:r>
            <w:r w:rsidR="003C69EC">
              <w:rPr>
                <w:rFonts w:ascii="Gautami" w:hAnsi="Gautami" w:cs="Gautami"/>
                <w:sz w:val="18"/>
                <w:szCs w:val="18"/>
                <w:lang w:val="ro-RO"/>
              </w:rPr>
              <w:t>lor în procesele de m</w:t>
            </w:r>
            <w:r w:rsidR="003C69E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3C69EC" w:rsidRPr="00EA5FE0">
              <w:rPr>
                <w:rFonts w:ascii="Gautami" w:hAnsi="Gautami" w:cs="Gautami"/>
                <w:sz w:val="18"/>
                <w:szCs w:val="18"/>
                <w:lang w:val="ro-RO"/>
              </w:rPr>
              <w:t>surare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866402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6523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C69E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65230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31094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310948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35816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358168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36552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365527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63229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632297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42242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422429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26730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267300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81449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8144994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32267336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:rsidR="003C69EC" w:rsidRPr="006B4C93" w:rsidRDefault="003C69EC" w:rsidP="00C95D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6B4C93">
              <w:rPr>
                <w:rFonts w:ascii="Gautami" w:hAnsi="Gautami" w:cs="Gautami"/>
                <w:sz w:val="18"/>
                <w:szCs w:val="18"/>
              </w:rPr>
              <w:t xml:space="preserve">1. </w:t>
            </w:r>
            <w:r w:rsidRPr="006B4C93">
              <w:rPr>
                <w:rFonts w:ascii="Gautami" w:hAnsi="Gautami" w:cs="Gautami"/>
                <w:sz w:val="18"/>
                <w:szCs w:val="18"/>
                <w:lang w:val="ro-RO"/>
              </w:rPr>
              <w:t xml:space="preserve">David I., </w:t>
            </w:r>
            <w:r>
              <w:rPr>
                <w:rFonts w:ascii="Gautami" w:hAnsi="Gautami" w:cs="Gautam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Precizia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fabricaţie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ş</w:t>
            </w:r>
            <w:r>
              <w:rPr>
                <w:rFonts w:ascii="Gautami" w:hAnsi="Gautami" w:cs="Gautami"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montaj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în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construc</w:t>
            </w:r>
            <w:r>
              <w:rPr>
                <w:rFonts w:ascii="Arial" w:hAnsi="Arial" w:cs="Arial"/>
                <w:sz w:val="18"/>
                <w:szCs w:val="18"/>
              </w:rPr>
              <w:t>ţ</w:t>
            </w:r>
            <w:r>
              <w:rPr>
                <w:rFonts w:ascii="Gautami" w:hAnsi="Gautami" w:cs="Gautami"/>
                <w:sz w:val="18"/>
                <w:szCs w:val="18"/>
              </w:rPr>
              <w:t>ia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ş</w:t>
            </w:r>
            <w:r w:rsidRPr="006B4C93">
              <w:rPr>
                <w:rFonts w:ascii="Gautami" w:hAnsi="Gautami" w:cs="Gautami"/>
                <w:sz w:val="18"/>
                <w:szCs w:val="18"/>
              </w:rPr>
              <w:t>i</w:t>
            </w:r>
            <w:r>
              <w:rPr>
                <w:rFonts w:ascii="Gautami" w:hAnsi="Gautami" w:cs="Gautami"/>
                <w:sz w:val="18"/>
                <w:szCs w:val="18"/>
              </w:rPr>
              <w:t>ni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Editura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Politehnica</w:t>
            </w:r>
            <w:proofErr w:type="spellEnd"/>
            <w:r>
              <w:rPr>
                <w:rFonts w:ascii="Gautami" w:hAnsi="Gautami" w:cs="Gautami"/>
                <w:sz w:val="18"/>
                <w:szCs w:val="18"/>
              </w:rPr>
              <w:t xml:space="preserve">”, </w:t>
            </w:r>
            <w:proofErr w:type="spellStart"/>
            <w:r>
              <w:rPr>
                <w:rFonts w:ascii="Gautami" w:hAnsi="Gautami" w:cs="Gautami"/>
                <w:sz w:val="18"/>
                <w:szCs w:val="18"/>
              </w:rPr>
              <w:t>Timi</w:t>
            </w:r>
            <w:r>
              <w:rPr>
                <w:rFonts w:ascii="Arial" w:hAnsi="Arial" w:cs="Arial"/>
                <w:sz w:val="18"/>
                <w:szCs w:val="18"/>
              </w:rPr>
              <w:t>ş</w:t>
            </w:r>
            <w:r w:rsidRPr="006B4C93">
              <w:rPr>
                <w:rFonts w:ascii="Gautami" w:hAnsi="Gautami" w:cs="Gautami"/>
                <w:sz w:val="18"/>
                <w:szCs w:val="18"/>
              </w:rPr>
              <w:t>oara</w:t>
            </w:r>
            <w:proofErr w:type="spellEnd"/>
            <w:r w:rsidRPr="006B4C93">
              <w:rPr>
                <w:rFonts w:ascii="Gautami" w:hAnsi="Gautami" w:cs="Gautami"/>
                <w:sz w:val="18"/>
                <w:szCs w:val="18"/>
              </w:rPr>
              <w:t>, 2008.</w:t>
            </w:r>
          </w:p>
          <w:p w:rsidR="00CA7AAF" w:rsidRDefault="003C69EC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sz w:val="18"/>
                <w:szCs w:val="18"/>
                <w:lang w:val="ro-RO"/>
              </w:rPr>
            </w:pPr>
            <w:r w:rsidRPr="006B4C93">
              <w:rPr>
                <w:rFonts w:ascii="Gautami" w:hAnsi="Gautami" w:cs="Gautami"/>
                <w:sz w:val="18"/>
                <w:szCs w:val="18"/>
                <w:lang w:val="ro-RO"/>
              </w:rPr>
              <w:t xml:space="preserve">   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    2. David I., Gubencu D.,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6B4C93">
              <w:rPr>
                <w:rFonts w:ascii="Gautami" w:hAnsi="Gautami" w:cs="Gautami"/>
                <w:sz w:val="18"/>
                <w:szCs w:val="18"/>
                <w:lang w:val="ro-RO"/>
              </w:rPr>
              <w:t xml:space="preserve">laimare G., - Tolerante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6B4C93">
              <w:rPr>
                <w:rFonts w:ascii="Gautami" w:hAnsi="Gautami" w:cs="Gautami"/>
                <w:sz w:val="18"/>
                <w:szCs w:val="18"/>
                <w:lang w:val="ro-RO"/>
              </w:rPr>
              <w:t>i ajust</w:t>
            </w:r>
            <w:r>
              <w:rPr>
                <w:rFonts w:ascii="Gautami" w:hAnsi="Gautami" w:cs="Gautami"/>
                <w:sz w:val="18"/>
                <w:szCs w:val="18"/>
                <w:lang w:val="ro-RO"/>
              </w:rPr>
              <w:t>aje; Editura „Politehnica” Timi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6B4C93">
              <w:rPr>
                <w:rFonts w:ascii="Gautami" w:hAnsi="Gautami" w:cs="Gautami"/>
                <w:sz w:val="18"/>
                <w:szCs w:val="18"/>
                <w:lang w:val="ro-RO"/>
              </w:rPr>
              <w:t>oara, 2005.</w:t>
            </w:r>
          </w:p>
          <w:p w:rsidR="00824523" w:rsidRPr="00824523" w:rsidRDefault="00824523" w:rsidP="0082452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       3.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Groza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I.,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s.a.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Achiziţia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datelor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transmise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instrumente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măsurare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digitale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Editura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Fundației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Ioan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Slavici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824523" w:rsidRPr="00824523" w:rsidRDefault="00824523" w:rsidP="0082452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proofErr w:type="spellStart"/>
            <w:r w:rsidRPr="00824523">
              <w:rPr>
                <w:rFonts w:ascii="Arial" w:hAnsi="Arial" w:cs="Arial"/>
                <w:bCs/>
                <w:sz w:val="18"/>
                <w:szCs w:val="18"/>
              </w:rPr>
              <w:t>Timișoara</w:t>
            </w:r>
            <w:proofErr w:type="spellEnd"/>
            <w:r w:rsidRPr="00824523">
              <w:rPr>
                <w:rFonts w:ascii="Arial" w:hAnsi="Arial" w:cs="Arial"/>
                <w:bCs/>
                <w:sz w:val="18"/>
                <w:szCs w:val="18"/>
              </w:rPr>
              <w:t xml:space="preserve">, 2012 </w:t>
            </w:r>
          </w:p>
          <w:p w:rsidR="00CA7AAF" w:rsidRPr="0040372D" w:rsidRDefault="0082452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sz w:val="18"/>
                <w:szCs w:val="18"/>
                <w:lang w:val="ro-RO"/>
              </w:rPr>
              <w:t xml:space="preserve"> </w:t>
            </w:r>
            <w:permEnd w:id="3226733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AB5834" w:rsidRPr="006B4C93" w:rsidRDefault="00FD5BE8" w:rsidP="00C95D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8775713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Identificarea 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recunoa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</w:t>
            </w:r>
            <w:r w:rsidR="00AB583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ea criteriilor de precizie dimensional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de form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AB5834"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ş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pozi</w:t>
            </w:r>
            <w:r w:rsidR="00AB5834"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ţ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 geometric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B583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impuse pieselor î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 construc</w:t>
            </w:r>
            <w:r w:rsidR="00AB5834"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ţ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 de ma</w:t>
            </w:r>
            <w:r w:rsidR="00AB5834"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ş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ini</w:t>
            </w:r>
          </w:p>
          <w:p w:rsidR="00DE7F95" w:rsidRPr="0040372D" w:rsidRDefault="00AB5834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Adoptarea metodelor </w:t>
            </w:r>
            <w:r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ş</w:t>
            </w: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a mijloacelor metrologice adecvate de care dispun angajatorii în procesele tehnologice de asigurare a calit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Verdana" w:hAnsi="Verdana" w:cs="Gautami"/>
                <w:bCs/>
                <w:sz w:val="18"/>
                <w:szCs w:val="18"/>
                <w:lang w:val="ro-RO"/>
              </w:rPr>
              <w:t>ţ</w:t>
            </w: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proceselor tehnologice în ingineria transporturilor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7571377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80502302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 distribuit</w:t>
            </w:r>
            <w:r w:rsidR="00AB5834">
              <w:rPr>
                <w:rFonts w:ascii="Verdana" w:hAnsi="Verdana"/>
                <w:sz w:val="16"/>
                <w:szCs w:val="16"/>
                <w:lang w:val="ro-RO"/>
              </w:rPr>
              <w:t>ă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050230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07570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 sumativ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- </w:t>
            </w:r>
            <w:r w:rsidR="00AB5834" w:rsidRPr="006B4C93">
              <w:rPr>
                <w:rFonts w:ascii="Gautami" w:hAnsi="Gautami" w:cs="Gautami"/>
                <w:sz w:val="18"/>
                <w:szCs w:val="18"/>
                <w:lang w:val="ro-RO"/>
              </w:rPr>
              <w:t>2</w:t>
            </w:r>
            <w:r w:rsidR="00AB5834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="00AB5834">
              <w:rPr>
                <w:rFonts w:ascii="Gautami" w:hAnsi="Gautami" w:cs="Gautami"/>
                <w:sz w:val="18"/>
                <w:szCs w:val="18"/>
                <w:lang w:val="ro-RO"/>
              </w:rPr>
              <w:t>lucr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AB5834" w:rsidRPr="006B4C93">
              <w:rPr>
                <w:rFonts w:ascii="Gautami" w:hAnsi="Gautami" w:cs="Gautami"/>
                <w:sz w:val="18"/>
                <w:szCs w:val="18"/>
                <w:lang w:val="ro-RO"/>
              </w:rPr>
              <w:t xml:space="preserve">ri scrise pe parcursule </w:t>
            </w:r>
            <w:r w:rsidR="00AB5834">
              <w:rPr>
                <w:rFonts w:ascii="Gautami" w:hAnsi="Gautami" w:cs="Gautami"/>
                <w:sz w:val="18"/>
                <w:szCs w:val="18"/>
                <w:lang w:val="ro-RO"/>
              </w:rPr>
              <w:t>perioade de transmitere de cuno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AB5834">
              <w:rPr>
                <w:rFonts w:ascii="Gautami" w:hAnsi="Gautami" w:cs="Gautami"/>
                <w:sz w:val="18"/>
                <w:szCs w:val="18"/>
                <w:lang w:val="ro-RO"/>
              </w:rPr>
              <w:t>tin</w:t>
            </w:r>
            <w:r w:rsidR="00AB5834"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="00AB5834" w:rsidRPr="006B4C93">
              <w:rPr>
                <w:rFonts w:ascii="Gautami" w:hAnsi="Gautami" w:cs="Gautami"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075709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4328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60 %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4328971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359496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594963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06379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063798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74399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743991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083356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 de proces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833569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82341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Evaluare formativ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B5834">
              <w:rPr>
                <w:rFonts w:ascii="Verdana" w:hAnsi="Verdana"/>
                <w:sz w:val="16"/>
                <w:szCs w:val="16"/>
                <w:lang w:val="ro-RO"/>
              </w:rPr>
              <w:t xml:space="preserve"> </w:t>
            </w:r>
            <w:r w:rsidR="00AB5834" w:rsidRPr="006B4C93">
              <w:rPr>
                <w:rFonts w:ascii="Gautami" w:hAnsi="Gautami" w:cs="Gautami"/>
                <w:sz w:val="18"/>
                <w:szCs w:val="18"/>
                <w:lang w:val="ro-RO"/>
              </w:rPr>
              <w:t xml:space="preserve">– teste la fiecare lucrare de laborator 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33823419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59975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40 %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599755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2633558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63355803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97360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973602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44961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4496186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46733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467338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14168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141683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06420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0642007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AB5834" w:rsidRPr="006B4C93" w:rsidRDefault="00893CC2" w:rsidP="00C95D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9255186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Capacitatea de a proiecta un ajustaj cu joc </w:t>
            </w:r>
            <w:r w:rsidR="00AB583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B5834"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unul cu strângere </w:t>
            </w:r>
          </w:p>
          <w:p w:rsidR="00AB5834" w:rsidRPr="006B4C93" w:rsidRDefault="00AB5834" w:rsidP="00C95DE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Capacitatea de a interpreta o abatere de form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una de pozi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de a expune modalitatea de verificare</w:t>
            </w:r>
          </w:p>
          <w:p w:rsidR="00C12BE1" w:rsidRPr="0040372D" w:rsidRDefault="00AB5834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 xml:space="preserve">Indicarea metodelor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a mijloacelor uzuale de 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6B4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surare pentru  lungimi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5518620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37263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13726352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46197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94619703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AC" w:rsidRDefault="00DA3FAC">
      <w:r>
        <w:separator/>
      </w:r>
    </w:p>
  </w:endnote>
  <w:endnote w:type="continuationSeparator" w:id="0">
    <w:p w:rsidR="00DA3FAC" w:rsidRDefault="00D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AC" w:rsidRDefault="00DA3FAC">
      <w:r>
        <w:separator/>
      </w:r>
    </w:p>
  </w:footnote>
  <w:footnote w:type="continuationSeparator" w:id="0">
    <w:p w:rsidR="00DA3FAC" w:rsidRDefault="00DA3FAC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D5324"/>
    <w:multiLevelType w:val="multilevel"/>
    <w:tmpl w:val="C53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B630B5B"/>
    <w:multiLevelType w:val="multilevel"/>
    <w:tmpl w:val="995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7AC4DAF"/>
    <w:multiLevelType w:val="multilevel"/>
    <w:tmpl w:val="DC80DD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4"/>
  </w:num>
  <w:num w:numId="5">
    <w:abstractNumId w:val="19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20C2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096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9EC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0EF3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959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2804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8EC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4125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4523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5DE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277A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834"/>
    <w:rsid w:val="00AB5B64"/>
    <w:rsid w:val="00AB69DA"/>
    <w:rsid w:val="00AB7306"/>
    <w:rsid w:val="00AB770A"/>
    <w:rsid w:val="00AB7E26"/>
    <w:rsid w:val="00AC00CC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1776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76F04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803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59F1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361B6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0B66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47FF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751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6DA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3FAC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4E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68F2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8F7E279-65FE-4648-ABF9-066D9C3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8938-28A5-4238-BE56-8C10FD6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7090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4</cp:revision>
  <cp:lastPrinted>2016-11-02T09:24:00Z</cp:lastPrinted>
  <dcterms:created xsi:type="dcterms:W3CDTF">2019-04-01T08:13:00Z</dcterms:created>
  <dcterms:modified xsi:type="dcterms:W3CDTF">2020-02-16T12:51:00Z</dcterms:modified>
</cp:coreProperties>
</file>